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0077" w:rsidRPr="00ED2674" w:rsidRDefault="002F3BD8" w:rsidP="00ED2674">
      <w:pPr>
        <w:spacing w:line="360" w:lineRule="auto"/>
        <w:jc w:val="both"/>
        <w:rPr>
          <w:b/>
          <w:u w:val="single"/>
        </w:rPr>
      </w:pPr>
      <w:r w:rsidRPr="00ED2674">
        <w:tab/>
      </w:r>
      <w:r w:rsidRPr="00ED2674">
        <w:tab/>
      </w:r>
      <w:r w:rsidRPr="00ED2674">
        <w:tab/>
      </w:r>
      <w:r w:rsidRPr="00ED2674">
        <w:tab/>
      </w:r>
      <w:r w:rsidRPr="00ED2674">
        <w:tab/>
      </w:r>
      <w:r w:rsidRPr="00ED2674">
        <w:tab/>
      </w:r>
      <w:r w:rsidRPr="00ED2674">
        <w:tab/>
      </w:r>
      <w:r w:rsidRPr="00ED2674">
        <w:rPr>
          <w:b/>
          <w:u w:val="single"/>
        </w:rPr>
        <w:t>RECURSO DE REVOCATORIA</w:t>
      </w:r>
    </w:p>
    <w:p w:rsidR="002F3BD8" w:rsidRPr="00ED2674" w:rsidRDefault="002F3BD8" w:rsidP="00ED2674">
      <w:pPr>
        <w:spacing w:line="360" w:lineRule="auto"/>
        <w:jc w:val="both"/>
        <w:rPr>
          <w:b/>
          <w:u w:val="single"/>
        </w:rPr>
      </w:pPr>
      <w:r w:rsidRPr="00ED2674">
        <w:tab/>
      </w:r>
      <w:r w:rsidRPr="00ED2674">
        <w:tab/>
      </w:r>
      <w:r w:rsidRPr="00ED2674">
        <w:tab/>
      </w:r>
      <w:r w:rsidRPr="00ED2674">
        <w:tab/>
      </w:r>
      <w:r w:rsidRPr="00ED2674">
        <w:tab/>
      </w:r>
      <w:r w:rsidRPr="00ED2674">
        <w:tab/>
      </w:r>
      <w:r w:rsidRPr="00ED2674">
        <w:tab/>
      </w:r>
      <w:r w:rsidRPr="00ED2674">
        <w:rPr>
          <w:b/>
          <w:u w:val="single"/>
        </w:rPr>
        <w:t>APELACION EN SUBSIDIO</w:t>
      </w:r>
    </w:p>
    <w:p w:rsidR="002F3BD8" w:rsidRPr="00ED2674" w:rsidRDefault="002F3BD8" w:rsidP="00ED2674">
      <w:pPr>
        <w:spacing w:line="360" w:lineRule="auto"/>
        <w:jc w:val="both"/>
        <w:rPr>
          <w:b/>
          <w:u w:val="single"/>
        </w:rPr>
      </w:pPr>
      <w:r w:rsidRPr="00ED2674">
        <w:rPr>
          <w:b/>
          <w:u w:val="single"/>
        </w:rPr>
        <w:t>Sr. Juez:</w:t>
      </w:r>
    </w:p>
    <w:p w:rsidR="002F3BD8" w:rsidRPr="00ED2674" w:rsidRDefault="002F3BD8" w:rsidP="00ED2674">
      <w:pPr>
        <w:spacing w:line="360" w:lineRule="auto"/>
        <w:jc w:val="both"/>
      </w:pPr>
      <w:r w:rsidRPr="00ED2674">
        <w:rPr>
          <w:b/>
        </w:rPr>
        <w:tab/>
      </w:r>
      <w:r w:rsidRPr="00ED2674">
        <w:rPr>
          <w:b/>
        </w:rPr>
        <w:tab/>
      </w:r>
      <w:proofErr w:type="gramStart"/>
      <w:r w:rsidR="00E06D7E">
        <w:rPr>
          <w:b/>
        </w:rPr>
        <w:t>………………………..</w:t>
      </w:r>
      <w:r w:rsidR="00E06D7E">
        <w:t>,</w:t>
      </w:r>
      <w:proofErr w:type="gramEnd"/>
      <w:r w:rsidR="00E06D7E">
        <w:t xml:space="preserve"> Contador P</w:t>
      </w:r>
      <w:r w:rsidRPr="00ED2674">
        <w:t>úblico matrícula N°….., en mi carácter de perito contador y por la participación que me corresponde en los autos caratulados “</w:t>
      </w:r>
      <w:r w:rsidR="00E06D7E">
        <w:rPr>
          <w:b/>
        </w:rPr>
        <w:t>……………………………..</w:t>
      </w:r>
      <w:r w:rsidRPr="00ED2674">
        <w:t xml:space="preserve">”, C.U.I.J. N° </w:t>
      </w:r>
      <w:r w:rsidR="00E06D7E">
        <w:t>..</w:t>
      </w:r>
      <w:r w:rsidRPr="00ED2674">
        <w:t>-</w:t>
      </w:r>
      <w:r w:rsidR="00E06D7E">
        <w:t>……………..</w:t>
      </w:r>
      <w:r w:rsidRPr="00ED2674">
        <w:t>-</w:t>
      </w:r>
      <w:r w:rsidR="00E06D7E">
        <w:t>…</w:t>
      </w:r>
      <w:r w:rsidRPr="00ED2674">
        <w:t>, ante V.S. me presento y como mejor proceda en derecho, respetuosamente digo:</w:t>
      </w:r>
    </w:p>
    <w:p w:rsidR="002F3BD8" w:rsidRPr="00ED2674" w:rsidRDefault="002F3BD8" w:rsidP="00ED2674">
      <w:pPr>
        <w:spacing w:line="360" w:lineRule="auto"/>
        <w:jc w:val="both"/>
      </w:pPr>
      <w:r w:rsidRPr="00ED2674">
        <w:tab/>
      </w:r>
      <w:r w:rsidRPr="00ED2674">
        <w:tab/>
      </w:r>
      <w:r w:rsidRPr="00ED2674">
        <w:rPr>
          <w:b/>
        </w:rPr>
        <w:t>I.-</w:t>
      </w:r>
      <w:r w:rsidRPr="00ED2674">
        <w:t xml:space="preserve"> Que en legal tiempo y forma, vengo a interponer recurso de revocatoria y</w:t>
      </w:r>
      <w:r w:rsidR="00ED2674">
        <w:t xml:space="preserve"> apelación en subsidio</w:t>
      </w:r>
      <w:r w:rsidRPr="00ED2674">
        <w:t xml:space="preserve">, contra el auto regulatorio N° </w:t>
      </w:r>
      <w:r w:rsidR="00E06D7E">
        <w:t>…</w:t>
      </w:r>
      <w:proofErr w:type="gramStart"/>
      <w:r w:rsidR="00E06D7E">
        <w:t>..</w:t>
      </w:r>
      <w:proofErr w:type="gramEnd"/>
      <w:r w:rsidRPr="00ED2674">
        <w:t xml:space="preserve"> de fecha ……….., a los fines de que se revoque por contrario imperio en la parte que ha omitido regular</w:t>
      </w:r>
      <w:r w:rsidR="00ED2674">
        <w:t xml:space="preserve"> mis honorarios profesionales estableciendo la equivalencia en</w:t>
      </w:r>
      <w:r w:rsidRPr="00ED2674">
        <w:t xml:space="preserve"> unidades </w:t>
      </w:r>
      <w:proofErr w:type="spellStart"/>
      <w:r w:rsidRPr="00ED2674">
        <w:t>jus</w:t>
      </w:r>
      <w:proofErr w:type="spellEnd"/>
      <w:r w:rsidRPr="00ED2674">
        <w:t>, atendiendo los argumentos de hecho y de derecho que de inmediato paso a exponer.</w:t>
      </w:r>
    </w:p>
    <w:p w:rsidR="002F3BD8" w:rsidRPr="00ED2674" w:rsidRDefault="002F3BD8" w:rsidP="00ED2674">
      <w:pPr>
        <w:spacing w:line="360" w:lineRule="auto"/>
        <w:jc w:val="both"/>
        <w:rPr>
          <w:b/>
          <w:u w:val="single"/>
        </w:rPr>
      </w:pPr>
      <w:r w:rsidRPr="00ED2674">
        <w:tab/>
      </w:r>
      <w:r w:rsidRPr="00ED2674">
        <w:tab/>
      </w:r>
      <w:r w:rsidRPr="00ED2674">
        <w:rPr>
          <w:b/>
        </w:rPr>
        <w:t xml:space="preserve">II.- </w:t>
      </w:r>
      <w:r w:rsidRPr="00ED2674">
        <w:rPr>
          <w:b/>
          <w:u w:val="single"/>
        </w:rPr>
        <w:t xml:space="preserve">Obligación de regular en unidades </w:t>
      </w:r>
      <w:proofErr w:type="spellStart"/>
      <w:r w:rsidRPr="00ED2674">
        <w:rPr>
          <w:b/>
          <w:u w:val="single"/>
        </w:rPr>
        <w:t>jus</w:t>
      </w:r>
      <w:proofErr w:type="spellEnd"/>
      <w:r w:rsidRPr="00ED2674">
        <w:rPr>
          <w:b/>
          <w:u w:val="single"/>
        </w:rPr>
        <w:t xml:space="preserve"> para los auxiliares de justicia (peritos contadores):</w:t>
      </w:r>
    </w:p>
    <w:p w:rsidR="00EB34CB" w:rsidRPr="00ED2674" w:rsidRDefault="00EB34CB" w:rsidP="00ED2674">
      <w:pPr>
        <w:spacing w:line="360" w:lineRule="auto"/>
        <w:jc w:val="both"/>
        <w:rPr>
          <w:b/>
        </w:rPr>
      </w:pPr>
      <w:r w:rsidRPr="00ED2674">
        <w:tab/>
      </w:r>
      <w:r w:rsidRPr="00ED2674">
        <w:tab/>
      </w:r>
      <w:r w:rsidRPr="00ED2674">
        <w:rPr>
          <w:b/>
        </w:rPr>
        <w:t xml:space="preserve">A.- </w:t>
      </w:r>
      <w:r w:rsidRPr="00ED2674">
        <w:rPr>
          <w:b/>
          <w:u w:val="single"/>
        </w:rPr>
        <w:t>Carácter alimentario de los honorarios profesionales:</w:t>
      </w:r>
    </w:p>
    <w:p w:rsidR="002F3BD8" w:rsidRPr="00ED2674" w:rsidRDefault="002F3BD8" w:rsidP="00ED2674">
      <w:pPr>
        <w:spacing w:line="360" w:lineRule="auto"/>
        <w:jc w:val="both"/>
      </w:pPr>
      <w:r w:rsidRPr="00ED2674">
        <w:tab/>
      </w:r>
      <w:r w:rsidRPr="00ED2674">
        <w:tab/>
        <w:t xml:space="preserve">En primer lugar V.S. mediante auto N° </w:t>
      </w:r>
      <w:proofErr w:type="gramStart"/>
      <w:r w:rsidR="00E06D7E">
        <w:t>…….</w:t>
      </w:r>
      <w:proofErr w:type="gramEnd"/>
      <w:r w:rsidRPr="00ED2674">
        <w:t xml:space="preserve"> de fecha …….. </w:t>
      </w:r>
      <w:proofErr w:type="gramStart"/>
      <w:r w:rsidRPr="00ED2674">
        <w:t>se</w:t>
      </w:r>
      <w:proofErr w:type="gramEnd"/>
      <w:r w:rsidRPr="00ED2674">
        <w:t xml:space="preserve"> regularon mis honorarios por la labor profesional que he desplegado en los presentes en la cantidad de $ </w:t>
      </w:r>
      <w:r w:rsidR="00E06D7E">
        <w:t>……</w:t>
      </w:r>
      <w:r w:rsidRPr="00ED2674">
        <w:t xml:space="preserve">.- (pesos </w:t>
      </w:r>
      <w:r w:rsidR="00E06D7E">
        <w:t>………..</w:t>
      </w:r>
      <w:r w:rsidRPr="00ED2674">
        <w:t xml:space="preserve">), omitiéndose en la referida regulación establecer que los honorarios deben determinarse en pesos con su correspondiente equivalente en unidades </w:t>
      </w:r>
      <w:proofErr w:type="spellStart"/>
      <w:r w:rsidRPr="00ED2674">
        <w:t>jus</w:t>
      </w:r>
      <w:proofErr w:type="spellEnd"/>
      <w:r w:rsidRPr="00ED2674">
        <w:t>.</w:t>
      </w:r>
    </w:p>
    <w:p w:rsidR="00EB34CB" w:rsidRPr="00ED2674" w:rsidRDefault="002F3BD8" w:rsidP="00ED2674">
      <w:pPr>
        <w:spacing w:line="360" w:lineRule="auto"/>
        <w:jc w:val="both"/>
      </w:pPr>
      <w:r w:rsidRPr="00ED2674">
        <w:tab/>
      </w:r>
      <w:r w:rsidRPr="00ED2674">
        <w:tab/>
        <w:t xml:space="preserve">No existe razón o motivo legal alguno que </w:t>
      </w:r>
      <w:r w:rsidR="00AC0758" w:rsidRPr="00ED2674">
        <w:t xml:space="preserve">mis honorarios profesionales no se regulen en unidades </w:t>
      </w:r>
      <w:proofErr w:type="spellStart"/>
      <w:r w:rsidR="00AC0758" w:rsidRPr="00ED2674">
        <w:t>jus</w:t>
      </w:r>
      <w:proofErr w:type="spellEnd"/>
      <w:r w:rsidR="00AC0758" w:rsidRPr="00ED2674">
        <w:t>.</w:t>
      </w:r>
    </w:p>
    <w:p w:rsidR="00EB34CB" w:rsidRPr="00ED2674" w:rsidRDefault="00EB34CB" w:rsidP="00ED2674">
      <w:pPr>
        <w:spacing w:line="360" w:lineRule="auto"/>
        <w:jc w:val="both"/>
      </w:pPr>
      <w:r w:rsidRPr="00ED2674">
        <w:tab/>
      </w:r>
      <w:r w:rsidRPr="00ED2674">
        <w:tab/>
        <w:t>Es de público conocimiento que obtener una regulación de honorarios profesionales por el desarrollo de una labor pericial no implica de manera inmediata su efectivo cobro.</w:t>
      </w:r>
    </w:p>
    <w:p w:rsidR="00EB34CB" w:rsidRPr="00ED2674" w:rsidRDefault="00EB34CB" w:rsidP="00ED2674">
      <w:pPr>
        <w:spacing w:line="360" w:lineRule="auto"/>
        <w:jc w:val="both"/>
      </w:pPr>
      <w:r w:rsidRPr="00ED2674">
        <w:tab/>
      </w:r>
      <w:r w:rsidRPr="00ED2674">
        <w:tab/>
        <w:t>Constituye una realidad que desde el momento en que el juez estima e indica los honorarios que le corresponden a un perito contador puede transcurrir un amplio lapso de tiempo hasta que el profesional pueda percibir el pago de su labor pericial.</w:t>
      </w:r>
    </w:p>
    <w:p w:rsidR="00EB34CB" w:rsidRPr="00ED2674" w:rsidRDefault="00EB34CB" w:rsidP="00ED2674">
      <w:pPr>
        <w:spacing w:line="360" w:lineRule="auto"/>
        <w:jc w:val="both"/>
      </w:pPr>
      <w:r w:rsidRPr="00ED2674">
        <w:tab/>
      </w:r>
      <w:r w:rsidRPr="00ED2674">
        <w:tab/>
        <w:t>En una economía inflacionaria, con depreciación de la moneda y aumento de precios, el perito al momento de hacer efectivo sus honorarios ha perdido parte de su capacidad adquisitiva.</w:t>
      </w:r>
    </w:p>
    <w:p w:rsidR="00EB34CB" w:rsidRPr="00ED2674" w:rsidRDefault="00E06D7E" w:rsidP="00ED2674">
      <w:pPr>
        <w:spacing w:line="360" w:lineRule="auto"/>
        <w:jc w:val="both"/>
      </w:pPr>
      <w:r>
        <w:tab/>
      </w:r>
      <w:r>
        <w:tab/>
        <w:t>La L</w:t>
      </w:r>
      <w:r w:rsidR="00EB34CB" w:rsidRPr="00ED2674">
        <w:t>ey N° 6</w:t>
      </w:r>
      <w:r>
        <w:t>.</w:t>
      </w:r>
      <w:r w:rsidR="00EB34CB" w:rsidRPr="00ED2674">
        <w:t>767</w:t>
      </w:r>
      <w:r>
        <w:t xml:space="preserve"> (t.o. Ley 12.851) </w:t>
      </w:r>
      <w:r>
        <w:rPr>
          <w:color w:val="333333"/>
          <w:shd w:val="clear" w:color="auto" w:fill="FFFFFF"/>
        </w:rPr>
        <w:t>Honorarios de abogados y procuradores</w:t>
      </w:r>
      <w:r w:rsidR="00EB34CB" w:rsidRPr="00ED2674">
        <w:t xml:space="preserve"> incorpora la figura del </w:t>
      </w:r>
      <w:proofErr w:type="spellStart"/>
      <w:r w:rsidR="00EB34CB" w:rsidRPr="00ED2674">
        <w:t>jus</w:t>
      </w:r>
      <w:proofErr w:type="spellEnd"/>
      <w:r w:rsidR="00EB34CB" w:rsidRPr="00ED2674">
        <w:t xml:space="preserve"> como una unidad del honorarios profesional del abogado y procurador, a través de la cual se trata de mantener la intangibilidad del honorario profesional.</w:t>
      </w:r>
    </w:p>
    <w:p w:rsidR="00EB34CB" w:rsidRPr="00ED2674" w:rsidRDefault="00EB34CB" w:rsidP="00ED2674">
      <w:pPr>
        <w:spacing w:line="360" w:lineRule="auto"/>
        <w:jc w:val="both"/>
      </w:pPr>
      <w:r w:rsidRPr="00ED2674">
        <w:tab/>
      </w:r>
      <w:r w:rsidRPr="00ED2674">
        <w:tab/>
        <w:t xml:space="preserve">Lo cierto y, tal como lo expresamos precedentemente, omitir regular los honorarios de los peritos utilizando la figura de la unidad </w:t>
      </w:r>
      <w:proofErr w:type="spellStart"/>
      <w:r w:rsidRPr="00ED2674">
        <w:t>jus</w:t>
      </w:r>
      <w:proofErr w:type="spellEnd"/>
      <w:r w:rsidRPr="00ED2674">
        <w:t>, causa severos perjuicios de pérdida del poder adquisitivo de los honorarios regulados, fundamentalmente ello se da cuando transcurre un lapso prolongado desde la regulación hasta su efectivo cobro.</w:t>
      </w:r>
    </w:p>
    <w:p w:rsidR="00EB34CB" w:rsidRPr="00ED2674" w:rsidRDefault="00EB34CB" w:rsidP="00ED2674">
      <w:pPr>
        <w:spacing w:line="360" w:lineRule="auto"/>
        <w:jc w:val="both"/>
      </w:pPr>
      <w:r w:rsidRPr="00ED2674">
        <w:lastRenderedPageBreak/>
        <w:tab/>
      </w:r>
      <w:r w:rsidRPr="00ED2674">
        <w:tab/>
        <w:t>Es unánime la posición doctrinaria y jurisprudencial de que los honorarios profesionales, tanto el de los abogados como también los de los demás auxiliares de justicia, tienen carácter alimentario.</w:t>
      </w:r>
    </w:p>
    <w:p w:rsidR="00EB34CB" w:rsidRPr="00ED2674" w:rsidRDefault="00EB34CB" w:rsidP="00ED2674">
      <w:pPr>
        <w:spacing w:line="360" w:lineRule="auto"/>
        <w:jc w:val="both"/>
      </w:pPr>
      <w:r w:rsidRPr="00ED2674">
        <w:t xml:space="preserve">                       Deviene necesario poner de manifiesto que los trabajos del perito, como auxiliar de la Justicia, deben ser íntegramente retribuidos. De este modo no se menoscaba el derecho de una justa retribución, consagrado en el art. 14 bis de la Constitución Nacional.</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 xml:space="preserve">                       Pero en realidad no basta el mero reconocimiento de los honorarios que le corresponden al experto por su actuación en la causa, resulta indispensable, también, que pueda materializar ese derecho, es decir, percibir la retribución establecida en una resolución judicial.</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 xml:space="preserve">                       Como especialista profesional el perito es llamado al proceso para contribuir con su ciencia a resolver las controversias suscitadas en el mismo. Una vez finalizada su labor, tiene derecho a que se le regulen honorarios por la tarea realizada.</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 xml:space="preserve">                       Por ello, el honorario es el estipendio o emolumento que corresponde por el trabajo resultante del ejercicio de profesionales liberales.</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 xml:space="preserve">                       Durante todo el proceso, el profesional desarrolla la tarea con la expectativa del cobro de sus emolumentos. Esto en virtud de la “utilidad objetiva” que presta en el expediente. Por lo tanto, el perito posee un crédito de carácter alimentario por el ejercicio técnico de sus funciones.</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 xml:space="preserve">                       En consecuencia, la tarea asignada al experto en el marco del proceso da causa al derecho de perseguir el cobro integro de sus honorarios.</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 xml:space="preserve">                       En principio, el trabajo profesional se presume oneroso y su retribución tiene claro carácter alimentario. </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 xml:space="preserve">                       Debe tenerse en cuenta para ello, el moderno concepto de la expresión “carácter alimentario” que comprende tanto la satisfacción de necesidades, subsistencia, habitación, vestuario, atención de las enfermedades, como también la educación e instrucción, las actividades culturales, deportivas, de esparcimiento, etc., en orden a la posición social de la familia.</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 xml:space="preserve">                       “…</w:t>
      </w:r>
      <w:r w:rsidRPr="00ED2674">
        <w:rPr>
          <w:rFonts w:ascii="Arial" w:hAnsi="Arial" w:cs="Arial"/>
          <w:i/>
          <w:sz w:val="22"/>
          <w:szCs w:val="22"/>
        </w:rPr>
        <w:t>los honorarios tienen carácter de alimentarios, pues esos frutos civiles del ejercicio de la profesión constituyen el medio con el cual satisfacen las necesidades vitales propias y de su familia, considerando su condición económica social</w:t>
      </w:r>
      <w:r w:rsidRPr="00ED2674">
        <w:rPr>
          <w:rFonts w:ascii="Arial" w:hAnsi="Arial" w:cs="Arial"/>
          <w:sz w:val="22"/>
          <w:szCs w:val="22"/>
        </w:rPr>
        <w:t>…” (Fundamentos en fallo plenario, Cámara Nacional de Apelaciones en lo Civil de la Capital Federal, en la causa “Aguas Argentinas S.A. c/</w:t>
      </w:r>
      <w:proofErr w:type="spellStart"/>
      <w:r w:rsidRPr="00ED2674">
        <w:rPr>
          <w:rFonts w:ascii="Arial" w:hAnsi="Arial" w:cs="Arial"/>
          <w:sz w:val="22"/>
          <w:szCs w:val="22"/>
        </w:rPr>
        <w:t>Blank</w:t>
      </w:r>
      <w:proofErr w:type="spellEnd"/>
      <w:r w:rsidRPr="00ED2674">
        <w:rPr>
          <w:rFonts w:ascii="Arial" w:hAnsi="Arial" w:cs="Arial"/>
          <w:sz w:val="22"/>
          <w:szCs w:val="22"/>
        </w:rPr>
        <w:t xml:space="preserve"> Jaira” del 29/6/00 y C.S.J.N. 16/11/89, en autos “Provincia de Buenos Aires c/Dirección General de Fabricaciones Militares”).</w:t>
      </w:r>
    </w:p>
    <w:p w:rsidR="00EB34CB" w:rsidRPr="00ED2674" w:rsidRDefault="00EB34CB" w:rsidP="00ED2674">
      <w:pPr>
        <w:pStyle w:val="body"/>
        <w:spacing w:line="360" w:lineRule="auto"/>
        <w:jc w:val="both"/>
        <w:rPr>
          <w:rFonts w:ascii="Arial" w:hAnsi="Arial" w:cs="Arial"/>
          <w:sz w:val="22"/>
          <w:szCs w:val="22"/>
        </w:rPr>
      </w:pPr>
      <w:r w:rsidRPr="00ED2674">
        <w:rPr>
          <w:rFonts w:ascii="Arial" w:hAnsi="Arial" w:cs="Arial"/>
          <w:sz w:val="22"/>
          <w:szCs w:val="22"/>
        </w:rPr>
        <w:tab/>
      </w:r>
      <w:r w:rsidRPr="00ED2674">
        <w:rPr>
          <w:rFonts w:ascii="Arial" w:hAnsi="Arial" w:cs="Arial"/>
          <w:sz w:val="22"/>
          <w:szCs w:val="22"/>
        </w:rPr>
        <w:tab/>
      </w:r>
      <w:r w:rsidRPr="00ED2674">
        <w:rPr>
          <w:rFonts w:ascii="Arial" w:hAnsi="Arial" w:cs="Arial"/>
          <w:b/>
          <w:sz w:val="22"/>
          <w:szCs w:val="22"/>
        </w:rPr>
        <w:t xml:space="preserve">B.- </w:t>
      </w:r>
      <w:r w:rsidRPr="00ED2674">
        <w:rPr>
          <w:rFonts w:ascii="Arial" w:hAnsi="Arial" w:cs="Arial"/>
          <w:b/>
          <w:sz w:val="22"/>
          <w:szCs w:val="22"/>
          <w:u w:val="single"/>
        </w:rPr>
        <w:t>Ajuste normativo y legal de apli</w:t>
      </w:r>
      <w:r w:rsidR="00ED2674">
        <w:rPr>
          <w:rFonts w:ascii="Arial" w:hAnsi="Arial" w:cs="Arial"/>
          <w:b/>
          <w:sz w:val="22"/>
          <w:szCs w:val="22"/>
          <w:u w:val="single"/>
        </w:rPr>
        <w:t>c</w:t>
      </w:r>
      <w:r w:rsidRPr="00ED2674">
        <w:rPr>
          <w:rFonts w:ascii="Arial" w:hAnsi="Arial" w:cs="Arial"/>
          <w:b/>
          <w:sz w:val="22"/>
          <w:szCs w:val="22"/>
          <w:u w:val="single"/>
        </w:rPr>
        <w:t>ación obligatoria para los jueces:</w:t>
      </w:r>
    </w:p>
    <w:p w:rsidR="00EB34CB" w:rsidRPr="00ED2674" w:rsidRDefault="00EB34CB" w:rsidP="00ED2674">
      <w:pPr>
        <w:pStyle w:val="body"/>
        <w:spacing w:line="360" w:lineRule="auto"/>
        <w:ind w:left="360"/>
        <w:jc w:val="both"/>
        <w:rPr>
          <w:rFonts w:ascii="Arial" w:hAnsi="Arial" w:cs="Arial"/>
          <w:sz w:val="22"/>
          <w:szCs w:val="22"/>
        </w:rPr>
      </w:pPr>
    </w:p>
    <w:p w:rsidR="00EB34CB" w:rsidRPr="00ED2674" w:rsidRDefault="00EB34CB" w:rsidP="00ED2674">
      <w:pPr>
        <w:autoSpaceDE w:val="0"/>
        <w:autoSpaceDN w:val="0"/>
        <w:adjustRightInd w:val="0"/>
        <w:spacing w:after="0" w:line="360" w:lineRule="auto"/>
        <w:jc w:val="both"/>
      </w:pPr>
      <w:r w:rsidRPr="00ED2674">
        <w:tab/>
      </w:r>
      <w:r w:rsidRPr="00ED2674">
        <w:tab/>
      </w:r>
      <w:r w:rsidR="00E06D7E">
        <w:t xml:space="preserve">Expresa la </w:t>
      </w:r>
      <w:r w:rsidR="00E06D7E">
        <w:t>Ley Orgánica del Poder Judicial (L</w:t>
      </w:r>
      <w:r w:rsidR="00E06D7E" w:rsidRPr="00ED2674">
        <w:t>OPJ</w:t>
      </w:r>
      <w:r w:rsidR="00E06D7E">
        <w:t>)</w:t>
      </w:r>
      <w:r w:rsidR="00E06D7E">
        <w:t xml:space="preserve"> N° 10.160</w:t>
      </w:r>
      <w:r w:rsidRPr="00ED2674">
        <w:t xml:space="preserve"> </w:t>
      </w:r>
      <w:r w:rsidR="00E06D7E">
        <w:t>en su</w:t>
      </w:r>
      <w:r w:rsidRPr="00ED2674">
        <w:t xml:space="preserve"> art. 361 que: “</w:t>
      </w:r>
      <w:r w:rsidRPr="00ED2674">
        <w:rPr>
          <w:b/>
          <w:i/>
        </w:rPr>
        <w:t>Los contadores públicos, ingenieros, traductores, calígrafos, tasadores; y demás peritos auxiliares de la justicia no contemplados expresamente en este Título, se ceñirán para el cobro de sus servicios prestados en juicio, a las normas generales y aranceles fijados para los abogados y procuradores por la Ley 6767 o la que le sustituya.</w:t>
      </w:r>
      <w:r w:rsidRPr="00ED2674">
        <w:rPr>
          <w:i/>
        </w:rPr>
        <w:t xml:space="preserve"> En ningún caso el perito en juicio devengará honorarios que superen el cincuenta por ciento (50 %) de los que se regulen al curial de la parte vencedora, no obstante lo que dispusieren las respectivas leyes reglamentarias de sus profesiones. Cuando la labor del perito deba realizarse sobre objetos extraños al litigio mismo, pero cuya verificación haya sido necesaria para resolverlo, los tribunales podrán apartarse del límite legal, para mantener una relación adecuada con la tarea efectivamente realizada por el experto, y con el valor de esos otros bienes</w:t>
      </w:r>
      <w:r w:rsidRPr="00ED2674">
        <w:t>”.</w:t>
      </w:r>
    </w:p>
    <w:p w:rsidR="00EB34CB" w:rsidRPr="00ED2674" w:rsidRDefault="00EB34CB" w:rsidP="00ED2674">
      <w:pPr>
        <w:spacing w:line="360" w:lineRule="auto"/>
        <w:jc w:val="both"/>
        <w:rPr>
          <w:lang w:val="es-ES_tradnl"/>
        </w:rPr>
      </w:pPr>
      <w:r w:rsidRPr="00ED2674">
        <w:rPr>
          <w:lang w:val="es-ES_tradnl"/>
        </w:rPr>
        <w:tab/>
      </w:r>
      <w:r w:rsidRPr="00ED2674">
        <w:rPr>
          <w:lang w:val="es-ES_tradnl"/>
        </w:rPr>
        <w:tab/>
        <w:t>A mi criterio el referido articulado es preciso, claro, contundente e inconfundible.</w:t>
      </w:r>
    </w:p>
    <w:p w:rsidR="00EB34CB" w:rsidRPr="00ED2674" w:rsidRDefault="00EB34CB" w:rsidP="00ED2674">
      <w:pPr>
        <w:spacing w:line="360" w:lineRule="auto"/>
        <w:jc w:val="both"/>
        <w:rPr>
          <w:lang w:val="es-ES_tradnl"/>
        </w:rPr>
      </w:pPr>
      <w:r w:rsidRPr="00ED2674">
        <w:rPr>
          <w:lang w:val="es-ES_tradnl"/>
        </w:rPr>
        <w:tab/>
      </w:r>
      <w:r w:rsidRPr="00ED2674">
        <w:rPr>
          <w:lang w:val="es-ES_tradnl"/>
        </w:rPr>
        <w:tab/>
        <w:t>Todos adjetivos que implican inexorablemente que en materia de regulación de honorarios de peritos contadores y demás auxiliares de justicia el Tribunal se debe “ceñir” (literal) a las normas generales y aranceles fijados para los abogados y procuradores en la Ley N° 6767.</w:t>
      </w:r>
    </w:p>
    <w:p w:rsidR="00EB34CB" w:rsidRPr="00ED2674" w:rsidRDefault="00EB34CB" w:rsidP="00ED2674">
      <w:pPr>
        <w:spacing w:line="360" w:lineRule="auto"/>
        <w:jc w:val="both"/>
        <w:rPr>
          <w:lang w:val="es-ES_tradnl"/>
        </w:rPr>
      </w:pPr>
      <w:r w:rsidRPr="00ED2674">
        <w:rPr>
          <w:lang w:val="es-ES_tradnl"/>
        </w:rPr>
        <w:tab/>
      </w:r>
      <w:r w:rsidRPr="00ED2674">
        <w:rPr>
          <w:lang w:val="es-ES_tradnl"/>
        </w:rPr>
        <w:tab/>
        <w:t>La norma que legisla en materia de honorarios para</w:t>
      </w:r>
      <w:r w:rsidR="00E06D7E">
        <w:rPr>
          <w:lang w:val="es-ES_tradnl"/>
        </w:rPr>
        <w:t xml:space="preserve"> abogados y procuradores es la L</w:t>
      </w:r>
      <w:r w:rsidRPr="00ED2674">
        <w:rPr>
          <w:lang w:val="es-ES_tradnl"/>
        </w:rPr>
        <w:t>ey N° 6</w:t>
      </w:r>
      <w:r w:rsidR="00E06D7E">
        <w:rPr>
          <w:lang w:val="es-ES_tradnl"/>
        </w:rPr>
        <w:t>.</w:t>
      </w:r>
      <w:r w:rsidRPr="00ED2674">
        <w:rPr>
          <w:lang w:val="es-ES_tradnl"/>
        </w:rPr>
        <w:t>767 y sus modificaciones, la cual tiene normas generales y escalas arancelarias.</w:t>
      </w:r>
    </w:p>
    <w:p w:rsidR="00EB34CB" w:rsidRPr="00ED2674" w:rsidRDefault="00EB34CB" w:rsidP="00ED2674">
      <w:pPr>
        <w:autoSpaceDE w:val="0"/>
        <w:autoSpaceDN w:val="0"/>
        <w:adjustRightInd w:val="0"/>
        <w:spacing w:after="0" w:line="360" w:lineRule="auto"/>
        <w:jc w:val="both"/>
      </w:pPr>
      <w:r w:rsidRPr="00ED2674">
        <w:rPr>
          <w:lang w:val="es-ES_tradnl"/>
        </w:rPr>
        <w:tab/>
      </w:r>
      <w:r w:rsidRPr="00ED2674">
        <w:rPr>
          <w:lang w:val="es-ES_tradnl"/>
        </w:rPr>
        <w:tab/>
        <w:t xml:space="preserve">Dentro de las normas generales encontramos el artículo N° 32 </w:t>
      </w:r>
      <w:r w:rsidR="00E06D7E">
        <w:rPr>
          <w:lang w:val="es-ES_tradnl"/>
        </w:rPr>
        <w:t xml:space="preserve">de la </w:t>
      </w:r>
      <w:r w:rsidRPr="00ED2674">
        <w:rPr>
          <w:lang w:val="es-ES_tradnl"/>
        </w:rPr>
        <w:t>Ley N° 6</w:t>
      </w:r>
      <w:r w:rsidR="00E06D7E">
        <w:rPr>
          <w:lang w:val="es-ES_tradnl"/>
        </w:rPr>
        <w:t>.</w:t>
      </w:r>
      <w:r w:rsidRPr="00ED2674">
        <w:rPr>
          <w:lang w:val="es-ES_tradnl"/>
        </w:rPr>
        <w:t>767 que dice: “</w:t>
      </w:r>
      <w:r w:rsidRPr="00ED2674">
        <w:rPr>
          <w:b/>
          <w:i/>
        </w:rPr>
        <w:t xml:space="preserve">Se instituye con la denominación JUS a la unidad de honorario profesional del abogado o procurador, que representa el dos por ciento (2%) de la remuneración total -deducidos los adicionales porcentuales particulares- asignada al cargo del Juez de Primera Instancia de Distrito de la Provincia de Santa Fe. Toda regulación de honorarios deberá contener, bajo pena de nulidad, el monto expresado en pesos o moneda de curso legal y la cantidad de unidades JUS que éste representa a la fecha de la resolución. El pago será definitivo y </w:t>
      </w:r>
      <w:proofErr w:type="spellStart"/>
      <w:r w:rsidRPr="00ED2674">
        <w:rPr>
          <w:b/>
          <w:i/>
        </w:rPr>
        <w:t>cancelatorio</w:t>
      </w:r>
      <w:proofErr w:type="spellEnd"/>
      <w:r w:rsidRPr="00ED2674">
        <w:rPr>
          <w:b/>
          <w:i/>
        </w:rPr>
        <w:t xml:space="preserve"> únicamente si se abona la cantidad de pesos o moneda de curso legal que resulte equivalente a la cantidad de unidades JUS contenidas en el auto regulatorio, según su valor vigente al momento del pago. Bajo la misma sanción, la resolución deberá expresar también el interés moratorio aplicable, el que será dispuesto prudencialmente por los jueces, teniendo en cuenta las vicisitudes del mercado, el valor adquisitivo de la moneda y el carácter alimentario del honorario profesional, pudiendo alcanzar hasta una vez y media la tasa activa capitalizada del Nuevo Banco de Santa Fe S.A. para las operaciones de descuento de documentos</w:t>
      </w:r>
      <w:r w:rsidRPr="00ED2674">
        <w:rPr>
          <w:i/>
        </w:rPr>
        <w:t>. La Corte Suprema de Justicia de la Provincia de Santa Fe publicará periódicamente el valor de la unidad JUS a los fines arancelarios. Si de acuerdo con la ley de fondo, resultara procedente la actualización monetaria por aplicación de los índices de precios al consumidor confeccionados por el Instituto Nacional de Estadística y Censos, corresponderá aplicar dicho índice sobre el monto nominal consignado en la regulación en pesos o moneda de curso legal. Pero si el valor de la unidad JUS se hubiera incrementado durante el mismo período, corresponderá cotejar ambas cantidades, debiéndose abonar el monto que resulte mayor al tiempo del pago. A estos fines, los honorarios regulados transcurridos un mes desde que se encuentren firmes a petición de los profesionales interesados o de la Caja Forense, podrán ser actualizados teniéndose en cuenta el índice mencionado en este Artículo. Las actualizaciones que se efectúen se computarán para los aportes a las Cajas Forense y de Jubilaciones y Pensiones de Abogados y Procuradores. La solicitud de reajuste deberá notificarse también en el domicilio real de la parte a cuyo cargo se encuentra el pago de los honorarios con el fin de que ésta formule las observaciones que crea menester dentro del plazo de tres días, vencido el cual el tribunal resolverá sin más trámite</w:t>
      </w:r>
      <w:r w:rsidRPr="00ED2674">
        <w:t>”.</w:t>
      </w:r>
    </w:p>
    <w:p w:rsidR="00EB34CB" w:rsidRPr="00ED2674" w:rsidRDefault="00EB34CB" w:rsidP="00ED2674">
      <w:pPr>
        <w:spacing w:line="360" w:lineRule="auto"/>
        <w:jc w:val="both"/>
      </w:pPr>
      <w:r w:rsidRPr="00ED2674">
        <w:tab/>
      </w:r>
      <w:r w:rsidRPr="00ED2674">
        <w:tab/>
        <w:t>La interpretación y derivación normativa es simple y directa en lo que respecta a la modalidad determinada para regular los honorarios a los peritos contadores públicos.</w:t>
      </w:r>
    </w:p>
    <w:p w:rsidR="00EB34CB" w:rsidRPr="00ED2674" w:rsidRDefault="00EB34CB" w:rsidP="00ED2674">
      <w:pPr>
        <w:spacing w:line="360" w:lineRule="auto"/>
        <w:jc w:val="both"/>
      </w:pPr>
      <w:r w:rsidRPr="00ED2674">
        <w:tab/>
      </w:r>
      <w:r w:rsidRPr="00ED2674">
        <w:tab/>
        <w:t xml:space="preserve">El auxiliar de la justicia (perito contador público) para el cobro de sus servicios (honorarios profesionales) </w:t>
      </w:r>
      <w:r w:rsidRPr="00ED2674">
        <w:rPr>
          <w:b/>
        </w:rPr>
        <w:t>debe ceñirse a la ley arancelaria N° 6767</w:t>
      </w:r>
      <w:r w:rsidRPr="00ED2674">
        <w:t>.</w:t>
      </w:r>
    </w:p>
    <w:p w:rsidR="00EB34CB" w:rsidRPr="00ED2674" w:rsidRDefault="00EB34CB" w:rsidP="00ED2674">
      <w:pPr>
        <w:spacing w:line="360" w:lineRule="auto"/>
        <w:jc w:val="both"/>
        <w:rPr>
          <w:rStyle w:val="b1"/>
        </w:rPr>
      </w:pPr>
      <w:r w:rsidRPr="00ED2674">
        <w:t xml:space="preserve">                       Según el Diccionario de la Real Academia Española, la palabra ceñir significa: “</w:t>
      </w:r>
      <w:r w:rsidRPr="00ED2674">
        <w:rPr>
          <w:rStyle w:val="b1"/>
          <w:rFonts w:eastAsia="Arial Unicode MS"/>
          <w:i/>
        </w:rPr>
        <w:t>Amoldarse, ajustarse, concretarse a una ocupación, trabajo o asunto</w:t>
      </w:r>
      <w:r w:rsidRPr="00ED2674">
        <w:rPr>
          <w:rStyle w:val="b1"/>
          <w:rFonts w:eastAsia="Arial Unicode MS"/>
        </w:rPr>
        <w:t>”.</w:t>
      </w:r>
    </w:p>
    <w:p w:rsidR="00EB34CB" w:rsidRPr="00ED2674" w:rsidRDefault="00EB34CB" w:rsidP="00ED2674">
      <w:pPr>
        <w:spacing w:line="360" w:lineRule="auto"/>
        <w:jc w:val="both"/>
        <w:rPr>
          <w:rStyle w:val="b1"/>
          <w:rFonts w:eastAsia="Arial Unicode MS"/>
        </w:rPr>
      </w:pPr>
      <w:r w:rsidRPr="00ED2674">
        <w:rPr>
          <w:rStyle w:val="b1"/>
          <w:rFonts w:eastAsia="Arial Unicode MS"/>
        </w:rPr>
        <w:tab/>
      </w:r>
      <w:r w:rsidRPr="00ED2674">
        <w:rPr>
          <w:rStyle w:val="b1"/>
          <w:rFonts w:eastAsia="Arial Unicode MS"/>
        </w:rPr>
        <w:tab/>
        <w:t>El artículo N° 361 L.O.P.J. hace una directa e indubitable referencia a las normas generales a la que deben ajustarse los peritos para el cobro de sus servicios profesionales.</w:t>
      </w:r>
    </w:p>
    <w:p w:rsidR="00EB34CB" w:rsidRPr="00ED2674" w:rsidRDefault="00EB34CB" w:rsidP="00ED2674">
      <w:pPr>
        <w:spacing w:line="360" w:lineRule="auto"/>
        <w:jc w:val="both"/>
        <w:rPr>
          <w:rStyle w:val="b1"/>
          <w:rFonts w:eastAsia="Arial Unicode MS"/>
        </w:rPr>
      </w:pPr>
      <w:r w:rsidRPr="00ED2674">
        <w:rPr>
          <w:rStyle w:val="b1"/>
          <w:rFonts w:eastAsia="Arial Unicode MS"/>
        </w:rPr>
        <w:tab/>
      </w:r>
      <w:r w:rsidRPr="00ED2674">
        <w:rPr>
          <w:rStyle w:val="b1"/>
          <w:rFonts w:eastAsia="Arial Unicode MS"/>
        </w:rPr>
        <w:tab/>
        <w:t xml:space="preserve">Al regular los honorarios de un auxiliar de la justicia, en especial a los peritos contadores públicos, el magistrado que regule debe ceñirse a las normas generales Ley N° 6767, por lo que si a los abogados y procuradores se les regulan sus labores tomando en cuenta la unidad </w:t>
      </w:r>
      <w:proofErr w:type="spellStart"/>
      <w:r w:rsidRPr="00ED2674">
        <w:rPr>
          <w:rStyle w:val="b1"/>
          <w:rFonts w:eastAsia="Arial Unicode MS"/>
        </w:rPr>
        <w:t>jus</w:t>
      </w:r>
      <w:proofErr w:type="spellEnd"/>
      <w:r w:rsidRPr="00ED2674">
        <w:rPr>
          <w:rStyle w:val="b1"/>
          <w:rFonts w:eastAsia="Arial Unicode MS"/>
        </w:rPr>
        <w:t>, de la misma manera se debe proceder ante la regulación de un perito contador público.</w:t>
      </w:r>
    </w:p>
    <w:p w:rsidR="00EB34CB" w:rsidRPr="00ED2674" w:rsidRDefault="00EB34CB" w:rsidP="00ED2674">
      <w:pPr>
        <w:spacing w:line="360" w:lineRule="auto"/>
        <w:jc w:val="both"/>
        <w:rPr>
          <w:rStyle w:val="b1"/>
          <w:rFonts w:eastAsia="Arial Unicode MS"/>
        </w:rPr>
      </w:pPr>
      <w:r w:rsidRPr="00ED2674">
        <w:rPr>
          <w:rStyle w:val="b1"/>
          <w:rFonts w:eastAsia="Arial Unicode MS"/>
        </w:rPr>
        <w:tab/>
      </w:r>
      <w:r w:rsidRPr="00ED2674">
        <w:rPr>
          <w:rStyle w:val="b1"/>
          <w:rFonts w:eastAsia="Arial Unicode MS"/>
        </w:rPr>
        <w:tab/>
        <w:t>Haciendo una interpretación literal del articulado debatido, el verbo “ceñirse” significa amoldarse, adaptarse, ajustarse.</w:t>
      </w:r>
    </w:p>
    <w:p w:rsidR="00EB34CB" w:rsidRPr="00ED2674" w:rsidRDefault="00EB34CB" w:rsidP="00ED2674">
      <w:pPr>
        <w:spacing w:line="360" w:lineRule="auto"/>
        <w:jc w:val="both"/>
        <w:rPr>
          <w:rStyle w:val="b1"/>
          <w:rFonts w:eastAsia="Arial Unicode MS"/>
        </w:rPr>
      </w:pPr>
      <w:r w:rsidRPr="00ED2674">
        <w:rPr>
          <w:rStyle w:val="b1"/>
          <w:rFonts w:eastAsia="Arial Unicode MS"/>
        </w:rPr>
        <w:tab/>
      </w:r>
      <w:r w:rsidRPr="00ED2674">
        <w:rPr>
          <w:rStyle w:val="b1"/>
          <w:rFonts w:eastAsia="Arial Unicode MS"/>
        </w:rPr>
        <w:tab/>
        <w:t xml:space="preserve">No regular los honorarios de los peritos contadores públicos en unidades </w:t>
      </w:r>
      <w:proofErr w:type="spellStart"/>
      <w:r w:rsidRPr="00ED2674">
        <w:rPr>
          <w:rStyle w:val="b1"/>
          <w:rFonts w:eastAsia="Arial Unicode MS"/>
        </w:rPr>
        <w:t>jus</w:t>
      </w:r>
      <w:proofErr w:type="spellEnd"/>
      <w:r w:rsidRPr="00ED2674">
        <w:rPr>
          <w:rStyle w:val="b1"/>
          <w:rFonts w:eastAsia="Arial Unicode MS"/>
        </w:rPr>
        <w:t xml:space="preserve">, significa estar en presencia de una interpretación “contra </w:t>
      </w:r>
      <w:proofErr w:type="spellStart"/>
      <w:r w:rsidRPr="00ED2674">
        <w:rPr>
          <w:rStyle w:val="b1"/>
          <w:rFonts w:eastAsia="Arial Unicode MS"/>
        </w:rPr>
        <w:t>legem</w:t>
      </w:r>
      <w:proofErr w:type="spellEnd"/>
      <w:r w:rsidRPr="00ED2674">
        <w:rPr>
          <w:rStyle w:val="b1"/>
          <w:rFonts w:eastAsia="Arial Unicode MS"/>
        </w:rPr>
        <w:t>” o contraria a derecho.</w:t>
      </w:r>
    </w:p>
    <w:p w:rsidR="00EB34CB" w:rsidRPr="00ED2674" w:rsidRDefault="00EB34CB" w:rsidP="00ED2674">
      <w:pPr>
        <w:spacing w:line="360" w:lineRule="auto"/>
        <w:jc w:val="both"/>
        <w:rPr>
          <w:rStyle w:val="b1"/>
          <w:rFonts w:eastAsia="Arial Unicode MS"/>
        </w:rPr>
      </w:pPr>
      <w:r w:rsidRPr="00ED2674">
        <w:rPr>
          <w:rStyle w:val="b1"/>
          <w:rFonts w:eastAsia="Arial Unicode MS"/>
        </w:rPr>
        <w:tab/>
      </w:r>
      <w:r w:rsidRPr="00ED2674">
        <w:rPr>
          <w:rStyle w:val="b1"/>
          <w:rFonts w:eastAsia="Arial Unicode MS"/>
        </w:rPr>
        <w:tab/>
        <w:t xml:space="preserve">Es tal la importancia del art. 32 le N° 6767, que: a) sanciona con nulidad a la regulación que no contenga el importe en pesos con más su equivalencia en unidades </w:t>
      </w:r>
      <w:proofErr w:type="spellStart"/>
      <w:r w:rsidRPr="00ED2674">
        <w:rPr>
          <w:rStyle w:val="b1"/>
          <w:rFonts w:eastAsia="Arial Unicode MS"/>
        </w:rPr>
        <w:t>jus</w:t>
      </w:r>
      <w:proofErr w:type="spellEnd"/>
      <w:r w:rsidRPr="00ED2674">
        <w:rPr>
          <w:rStyle w:val="b1"/>
          <w:rFonts w:eastAsia="Arial Unicode MS"/>
        </w:rPr>
        <w:t>.</w:t>
      </w:r>
    </w:p>
    <w:p w:rsidR="00EB34CB" w:rsidRPr="00ED2674" w:rsidRDefault="00EB34CB" w:rsidP="00ED2674">
      <w:pPr>
        <w:spacing w:line="360" w:lineRule="auto"/>
        <w:jc w:val="both"/>
        <w:rPr>
          <w:rStyle w:val="b1"/>
          <w:rFonts w:eastAsia="Arial Unicode MS"/>
        </w:rPr>
      </w:pPr>
      <w:r w:rsidRPr="00ED2674">
        <w:rPr>
          <w:rStyle w:val="b1"/>
          <w:rFonts w:eastAsia="Arial Unicode MS"/>
        </w:rPr>
        <w:t xml:space="preserve">b) únicamente se considera definitivo y </w:t>
      </w:r>
      <w:proofErr w:type="spellStart"/>
      <w:r w:rsidRPr="00ED2674">
        <w:rPr>
          <w:rStyle w:val="b1"/>
          <w:rFonts w:eastAsia="Arial Unicode MS"/>
        </w:rPr>
        <w:t>cancelatorio</w:t>
      </w:r>
      <w:proofErr w:type="spellEnd"/>
      <w:r w:rsidRPr="00ED2674">
        <w:rPr>
          <w:rStyle w:val="b1"/>
          <w:rFonts w:eastAsia="Arial Unicode MS"/>
        </w:rPr>
        <w:t xml:space="preserve"> al pago que en pesos que equivalga a la cantidad de unidades </w:t>
      </w:r>
      <w:proofErr w:type="spellStart"/>
      <w:r w:rsidRPr="00ED2674">
        <w:rPr>
          <w:rStyle w:val="b1"/>
          <w:rFonts w:eastAsia="Arial Unicode MS"/>
        </w:rPr>
        <w:t>jus</w:t>
      </w:r>
      <w:proofErr w:type="spellEnd"/>
      <w:r w:rsidRPr="00ED2674">
        <w:rPr>
          <w:rStyle w:val="b1"/>
          <w:rFonts w:eastAsia="Arial Unicode MS"/>
        </w:rPr>
        <w:t xml:space="preserve"> establecidas en el auto regulatorio, tomando en cuenta el valor vigente de la unidad </w:t>
      </w:r>
      <w:proofErr w:type="spellStart"/>
      <w:r w:rsidRPr="00ED2674">
        <w:rPr>
          <w:rStyle w:val="b1"/>
          <w:rFonts w:eastAsia="Arial Unicode MS"/>
        </w:rPr>
        <w:t>jus</w:t>
      </w:r>
      <w:proofErr w:type="spellEnd"/>
      <w:r w:rsidRPr="00ED2674">
        <w:rPr>
          <w:rStyle w:val="b1"/>
          <w:rFonts w:eastAsia="Arial Unicode MS"/>
        </w:rPr>
        <w:t xml:space="preserve"> al momento del efectivo pago.  </w:t>
      </w:r>
    </w:p>
    <w:p w:rsidR="00EB34CB" w:rsidRPr="00ED2674" w:rsidRDefault="00EB34CB" w:rsidP="00ED2674">
      <w:pPr>
        <w:spacing w:line="360" w:lineRule="auto"/>
        <w:jc w:val="both"/>
        <w:rPr>
          <w:rStyle w:val="b1"/>
          <w:rFonts w:eastAsia="Arial Unicode MS"/>
        </w:rPr>
      </w:pPr>
      <w:r w:rsidRPr="00ED2674">
        <w:rPr>
          <w:rStyle w:val="b1"/>
          <w:rFonts w:eastAsia="Arial Unicode MS"/>
        </w:rPr>
        <w:tab/>
      </w:r>
      <w:r w:rsidRPr="00ED2674">
        <w:rPr>
          <w:rStyle w:val="b1"/>
          <w:rFonts w:eastAsia="Arial Unicode MS"/>
        </w:rPr>
        <w:tab/>
        <w:t xml:space="preserve">Sin perjuicio de los expuesto y el análisis legal hecho precedentemente, traigo a colación el </w:t>
      </w:r>
      <w:r w:rsidRPr="00ED2674">
        <w:rPr>
          <w:rStyle w:val="b1"/>
          <w:rFonts w:eastAsia="Arial Unicode MS"/>
          <w:b/>
        </w:rPr>
        <w:t>artículo</w:t>
      </w:r>
      <w:r w:rsidR="00ED2674" w:rsidRPr="00ED2674">
        <w:rPr>
          <w:rStyle w:val="b1"/>
          <w:rFonts w:eastAsia="Arial Unicode MS"/>
          <w:b/>
        </w:rPr>
        <w:t xml:space="preserve"> 82 del Código de Procesal</w:t>
      </w:r>
      <w:r w:rsidRPr="00ED2674">
        <w:rPr>
          <w:rStyle w:val="b1"/>
          <w:rFonts w:eastAsia="Arial Unicode MS"/>
          <w:b/>
        </w:rPr>
        <w:t xml:space="preserve"> Laboral</w:t>
      </w:r>
      <w:r w:rsidR="00ED2674">
        <w:rPr>
          <w:rStyle w:val="b1"/>
          <w:rFonts w:eastAsia="Arial Unicode MS"/>
        </w:rPr>
        <w:t xml:space="preserve"> (actualizado Ley N° 13.840)</w:t>
      </w:r>
      <w:r w:rsidRPr="00ED2674">
        <w:rPr>
          <w:rStyle w:val="b1"/>
          <w:rFonts w:eastAsia="Arial Unicode MS"/>
        </w:rPr>
        <w:t>.</w:t>
      </w:r>
    </w:p>
    <w:p w:rsidR="00ED2674" w:rsidRPr="00ED2674" w:rsidRDefault="00ED2674" w:rsidP="00ED2674">
      <w:pPr>
        <w:pStyle w:val="western"/>
        <w:shd w:val="clear" w:color="auto" w:fill="FFFFFF"/>
        <w:spacing w:after="0" w:afterAutospacing="0" w:line="360" w:lineRule="auto"/>
        <w:jc w:val="both"/>
        <w:rPr>
          <w:rFonts w:ascii="Arial" w:hAnsi="Arial" w:cs="Arial"/>
          <w:i/>
          <w:color w:val="000000"/>
          <w:sz w:val="22"/>
          <w:szCs w:val="22"/>
          <w:lang w:val="es-ES"/>
        </w:rPr>
      </w:pPr>
      <w:r>
        <w:rPr>
          <w:rFonts w:ascii="Arial" w:hAnsi="Arial" w:cs="Arial"/>
          <w:color w:val="000000"/>
          <w:sz w:val="22"/>
          <w:szCs w:val="22"/>
          <w:lang w:val="es-ES"/>
        </w:rPr>
        <w:tab/>
      </w:r>
      <w:r>
        <w:rPr>
          <w:rFonts w:ascii="Arial" w:hAnsi="Arial" w:cs="Arial"/>
          <w:color w:val="000000"/>
          <w:sz w:val="22"/>
          <w:szCs w:val="22"/>
          <w:lang w:val="es-ES"/>
        </w:rPr>
        <w:tab/>
        <w:t>“</w:t>
      </w:r>
      <w:r w:rsidRPr="00ED2674">
        <w:rPr>
          <w:rFonts w:ascii="Arial" w:hAnsi="Arial" w:cs="Arial"/>
          <w:i/>
          <w:color w:val="000000"/>
          <w:sz w:val="22"/>
          <w:szCs w:val="22"/>
          <w:lang w:val="es-ES"/>
        </w:rPr>
        <w:t xml:space="preserve">Artículo 82 - Honorarios. Los honorarios de los peritos que intervengan en las controversias judiciales, no estarán vinculados a la cuantía del respectivo juicio, ni al porcentaje de incapacidad que se dictamine en caso de pericia médica. </w:t>
      </w:r>
      <w:r w:rsidRPr="00ED2674">
        <w:rPr>
          <w:rFonts w:ascii="Arial" w:hAnsi="Arial" w:cs="Arial"/>
          <w:b/>
          <w:i/>
          <w:color w:val="000000"/>
          <w:sz w:val="22"/>
          <w:szCs w:val="22"/>
          <w:lang w:val="es-ES"/>
        </w:rPr>
        <w:t xml:space="preserve">Su regulación responderá exclusivamente a la apreciación judicial de la labor técnica realizada en el pleito y su relevancia; calidad y extensión en lo concreto y deberá efectuarse en un monto que asegure una adecuada retribución al perito, con un mínimo de </w:t>
      </w:r>
      <w:r w:rsidRPr="00ED2674">
        <w:rPr>
          <w:rFonts w:ascii="Arial" w:hAnsi="Arial" w:cs="Arial"/>
          <w:b/>
          <w:i/>
          <w:color w:val="000000"/>
          <w:sz w:val="22"/>
          <w:szCs w:val="22"/>
          <w:u w:val="single"/>
          <w:lang w:val="es-ES"/>
        </w:rPr>
        <w:t xml:space="preserve">ocho unidades </w:t>
      </w:r>
      <w:proofErr w:type="spellStart"/>
      <w:r w:rsidRPr="00ED2674">
        <w:rPr>
          <w:rFonts w:ascii="Arial" w:hAnsi="Arial" w:cs="Arial"/>
          <w:b/>
          <w:i/>
          <w:color w:val="000000"/>
          <w:sz w:val="22"/>
          <w:szCs w:val="22"/>
          <w:u w:val="single"/>
          <w:lang w:val="es-ES"/>
        </w:rPr>
        <w:t>Jus</w:t>
      </w:r>
      <w:proofErr w:type="spellEnd"/>
      <w:r w:rsidRPr="00ED2674">
        <w:rPr>
          <w:rFonts w:ascii="Arial" w:hAnsi="Arial" w:cs="Arial"/>
          <w:b/>
          <w:i/>
          <w:color w:val="000000"/>
          <w:sz w:val="22"/>
          <w:szCs w:val="22"/>
          <w:lang w:val="es-ES"/>
        </w:rPr>
        <w:t>, no pudiendo exceder del 30% de los honorarios que se regulen a los abogados</w:t>
      </w:r>
      <w:r w:rsidRPr="00ED2674">
        <w:rPr>
          <w:rFonts w:ascii="Arial" w:hAnsi="Arial" w:cs="Arial"/>
          <w:i/>
          <w:color w:val="000000"/>
          <w:sz w:val="22"/>
          <w:szCs w:val="22"/>
          <w:lang w:val="es-ES"/>
        </w:rPr>
        <w:t>.</w:t>
      </w:r>
    </w:p>
    <w:p w:rsidR="00ED2674" w:rsidRPr="00ED2674" w:rsidRDefault="00ED2674" w:rsidP="00ED2674">
      <w:pPr>
        <w:pStyle w:val="western"/>
        <w:shd w:val="clear" w:color="auto" w:fill="FFFFFF"/>
        <w:spacing w:after="0" w:afterAutospacing="0" w:line="360" w:lineRule="auto"/>
        <w:jc w:val="both"/>
        <w:rPr>
          <w:rFonts w:ascii="Arial" w:hAnsi="Arial" w:cs="Arial"/>
          <w:i/>
          <w:color w:val="000000"/>
          <w:sz w:val="22"/>
          <w:szCs w:val="22"/>
          <w:lang w:val="es-ES"/>
        </w:rPr>
      </w:pPr>
      <w:r w:rsidRPr="00ED2674">
        <w:rPr>
          <w:rFonts w:ascii="Arial" w:hAnsi="Arial" w:cs="Arial"/>
          <w:i/>
          <w:color w:val="000000"/>
          <w:sz w:val="22"/>
          <w:szCs w:val="22"/>
          <w:lang w:val="es-ES"/>
        </w:rPr>
        <w:t>Cuando el trabajador resulte vencido y condenado en costas, los honorarios del perito serán abonados por la Provincia, salvo:</w:t>
      </w:r>
    </w:p>
    <w:p w:rsidR="00ED2674" w:rsidRPr="00ED2674" w:rsidRDefault="00ED2674" w:rsidP="00ED2674">
      <w:pPr>
        <w:pStyle w:val="western"/>
        <w:shd w:val="clear" w:color="auto" w:fill="FFFFFF"/>
        <w:spacing w:after="0" w:afterAutospacing="0" w:line="360" w:lineRule="auto"/>
        <w:ind w:firstLine="91"/>
        <w:jc w:val="both"/>
        <w:rPr>
          <w:rFonts w:ascii="Arial" w:hAnsi="Arial" w:cs="Arial"/>
          <w:i/>
          <w:color w:val="000000"/>
          <w:sz w:val="22"/>
          <w:szCs w:val="22"/>
          <w:lang w:val="es-ES"/>
        </w:rPr>
      </w:pPr>
      <w:r w:rsidRPr="00ED2674">
        <w:rPr>
          <w:rFonts w:ascii="Arial" w:hAnsi="Arial" w:cs="Arial"/>
          <w:i/>
          <w:color w:val="000000"/>
          <w:sz w:val="22"/>
          <w:szCs w:val="22"/>
          <w:lang w:val="es-ES"/>
        </w:rPr>
        <w:t>a) cuando se justifique sumariamente que aquél reúne capacidad de pago suficiente en relación al monto reclamado;</w:t>
      </w:r>
    </w:p>
    <w:p w:rsidR="00ED2674" w:rsidRPr="00ED2674" w:rsidRDefault="00ED2674" w:rsidP="00ED2674">
      <w:pPr>
        <w:pStyle w:val="western"/>
        <w:shd w:val="clear" w:color="auto" w:fill="FFFFFF"/>
        <w:spacing w:after="0" w:afterAutospacing="0" w:line="360" w:lineRule="auto"/>
        <w:ind w:firstLine="91"/>
        <w:jc w:val="both"/>
        <w:rPr>
          <w:rFonts w:ascii="Arial" w:hAnsi="Arial" w:cs="Arial"/>
          <w:i/>
          <w:color w:val="000000"/>
          <w:sz w:val="22"/>
          <w:szCs w:val="22"/>
          <w:lang w:val="es-ES"/>
        </w:rPr>
      </w:pPr>
      <w:r w:rsidRPr="00ED2674">
        <w:rPr>
          <w:rFonts w:ascii="Arial" w:hAnsi="Arial" w:cs="Arial"/>
          <w:i/>
          <w:color w:val="000000"/>
          <w:sz w:val="22"/>
          <w:szCs w:val="22"/>
          <w:lang w:val="es-ES"/>
        </w:rPr>
        <w:t>b) cuando, por resolución fundada del juez o tribunal, o del contenido de la sentencia, emergiera que la decisión de la causa a favor de la ganadora dependió del acto pericial, en cuyo caso serán a su cargo.</w:t>
      </w:r>
    </w:p>
    <w:p w:rsidR="00ED2674" w:rsidRDefault="00ED2674" w:rsidP="00ED2674">
      <w:pPr>
        <w:pStyle w:val="western"/>
        <w:shd w:val="clear" w:color="auto" w:fill="FFFFFF"/>
        <w:spacing w:after="0" w:afterAutospacing="0" w:line="360" w:lineRule="auto"/>
        <w:jc w:val="both"/>
        <w:rPr>
          <w:rFonts w:ascii="Arial" w:hAnsi="Arial" w:cs="Arial"/>
          <w:color w:val="000000"/>
          <w:sz w:val="22"/>
          <w:szCs w:val="22"/>
          <w:lang w:val="es-ES"/>
        </w:rPr>
      </w:pPr>
      <w:r w:rsidRPr="00ED2674">
        <w:rPr>
          <w:rFonts w:ascii="Arial" w:hAnsi="Arial" w:cs="Arial"/>
          <w:i/>
          <w:color w:val="000000"/>
          <w:sz w:val="22"/>
          <w:szCs w:val="22"/>
          <w:lang w:val="es-ES"/>
        </w:rPr>
        <w:t>En el supuesto previsto en el primer párrafo de este Artículo, la regulación de honorarios del perito se notificará a la Provincia, en la persona del Fiscal de Estado, con detalle de los autos y tribunal donde tramitan. Contra dicha regulación, la Provincia podrá interponer revocatoria y apelación en subsidio, en trámite al que se imprimirá la vía incidental. Notificada la Provincia, firme y consentida la regulación de honorarios, se le intimará su pago dentro de los treinta días hábiles contados a partir del siguiente al de la notificación. En el supuesto que no se hubiese cancelado en aquel tiempo el importe adeudado, el perito podrá ejecutarlo por vía del trámite de ejecución de se</w:t>
      </w:r>
      <w:r>
        <w:rPr>
          <w:rFonts w:ascii="Arial" w:hAnsi="Arial" w:cs="Arial"/>
          <w:i/>
          <w:color w:val="000000"/>
          <w:sz w:val="22"/>
          <w:szCs w:val="22"/>
          <w:lang w:val="es-ES"/>
        </w:rPr>
        <w:t>ntencia previsto en este Código</w:t>
      </w:r>
      <w:r w:rsidRPr="00ED2674">
        <w:rPr>
          <w:rFonts w:ascii="Arial" w:hAnsi="Arial" w:cs="Arial"/>
          <w:color w:val="000000"/>
          <w:sz w:val="22"/>
          <w:szCs w:val="22"/>
          <w:lang w:val="es-ES"/>
        </w:rPr>
        <w:t>"</w:t>
      </w:r>
      <w:r>
        <w:rPr>
          <w:rFonts w:ascii="Arial" w:hAnsi="Arial" w:cs="Arial"/>
          <w:color w:val="000000"/>
          <w:sz w:val="22"/>
          <w:szCs w:val="22"/>
          <w:lang w:val="es-ES"/>
        </w:rPr>
        <w:t>.</w:t>
      </w:r>
    </w:p>
    <w:p w:rsidR="00ED2674" w:rsidRDefault="00ED2674" w:rsidP="00ED2674">
      <w:pPr>
        <w:pStyle w:val="western"/>
        <w:shd w:val="clear" w:color="auto" w:fill="FFFFFF"/>
        <w:spacing w:after="0" w:afterAutospacing="0" w:line="360" w:lineRule="auto"/>
        <w:ind w:firstLine="91"/>
        <w:jc w:val="both"/>
        <w:rPr>
          <w:rFonts w:ascii="Arial" w:hAnsi="Arial" w:cs="Arial"/>
          <w:color w:val="000000"/>
          <w:sz w:val="22"/>
          <w:szCs w:val="22"/>
          <w:lang w:val="es-ES"/>
        </w:rPr>
      </w:pPr>
      <w:r>
        <w:rPr>
          <w:rFonts w:ascii="Arial" w:hAnsi="Arial" w:cs="Arial"/>
          <w:color w:val="000000"/>
          <w:sz w:val="22"/>
          <w:szCs w:val="22"/>
          <w:lang w:val="es-ES"/>
        </w:rPr>
        <w:tab/>
      </w:r>
      <w:r>
        <w:rPr>
          <w:rFonts w:ascii="Arial" w:hAnsi="Arial" w:cs="Arial"/>
          <w:color w:val="000000"/>
          <w:sz w:val="22"/>
          <w:szCs w:val="22"/>
          <w:lang w:val="es-ES"/>
        </w:rPr>
        <w:tab/>
        <w:t>El mismo legislador ha querido que a los peritos contadores se les regulen en UNIDADES JUS.</w:t>
      </w:r>
    </w:p>
    <w:p w:rsidR="00ED2674" w:rsidRDefault="00ED2674" w:rsidP="00ED2674">
      <w:pPr>
        <w:pStyle w:val="western"/>
        <w:shd w:val="clear" w:color="auto" w:fill="FFFFFF"/>
        <w:spacing w:after="0" w:afterAutospacing="0" w:line="360" w:lineRule="auto"/>
        <w:ind w:firstLine="91"/>
        <w:jc w:val="both"/>
        <w:rPr>
          <w:rFonts w:ascii="Arial" w:hAnsi="Arial" w:cs="Arial"/>
          <w:color w:val="000000"/>
          <w:sz w:val="22"/>
          <w:szCs w:val="22"/>
          <w:lang w:val="es-ES"/>
        </w:rPr>
      </w:pPr>
      <w:r>
        <w:rPr>
          <w:rFonts w:ascii="Arial" w:hAnsi="Arial" w:cs="Arial"/>
          <w:color w:val="000000"/>
          <w:sz w:val="22"/>
          <w:szCs w:val="22"/>
          <w:lang w:val="es-ES"/>
        </w:rPr>
        <w:tab/>
      </w:r>
      <w:r>
        <w:rPr>
          <w:rFonts w:ascii="Arial" w:hAnsi="Arial" w:cs="Arial"/>
          <w:color w:val="000000"/>
          <w:sz w:val="22"/>
          <w:szCs w:val="22"/>
          <w:lang w:val="es-ES"/>
        </w:rPr>
        <w:tab/>
        <w:t>Por lo que no existe razón, motivo o fundamento que mis honorarios profesionales no se regulen estableciendo la equivalencia en UNIDADES JUS.</w:t>
      </w:r>
    </w:p>
    <w:p w:rsidR="00ED2674" w:rsidRDefault="00ED2674" w:rsidP="00ED2674">
      <w:pPr>
        <w:pStyle w:val="western"/>
        <w:shd w:val="clear" w:color="auto" w:fill="FFFFFF"/>
        <w:spacing w:after="0" w:afterAutospacing="0" w:line="360" w:lineRule="auto"/>
        <w:ind w:firstLine="91"/>
        <w:jc w:val="both"/>
        <w:rPr>
          <w:rFonts w:ascii="Arial" w:hAnsi="Arial" w:cs="Arial"/>
          <w:color w:val="000000"/>
          <w:sz w:val="22"/>
          <w:szCs w:val="22"/>
          <w:lang w:val="es-ES"/>
        </w:rPr>
      </w:pPr>
      <w:r>
        <w:rPr>
          <w:rFonts w:ascii="Arial" w:hAnsi="Arial" w:cs="Arial"/>
          <w:color w:val="000000"/>
          <w:sz w:val="22"/>
          <w:szCs w:val="22"/>
          <w:lang w:val="es-ES"/>
        </w:rPr>
        <w:tab/>
      </w:r>
      <w:r>
        <w:rPr>
          <w:rFonts w:ascii="Arial" w:hAnsi="Arial" w:cs="Arial"/>
          <w:color w:val="000000"/>
          <w:sz w:val="22"/>
          <w:szCs w:val="22"/>
          <w:lang w:val="es-ES"/>
        </w:rPr>
        <w:tab/>
        <w:t xml:space="preserve">Ergo, solicito se revoque el auto regulatorio N° </w:t>
      </w:r>
      <w:proofErr w:type="gramStart"/>
      <w:r w:rsidR="00E06D7E">
        <w:rPr>
          <w:rFonts w:ascii="Arial" w:hAnsi="Arial" w:cs="Arial"/>
          <w:color w:val="000000"/>
          <w:sz w:val="22"/>
          <w:szCs w:val="22"/>
          <w:lang w:val="es-ES"/>
        </w:rPr>
        <w:t>…….</w:t>
      </w:r>
      <w:proofErr w:type="gramEnd"/>
      <w:r>
        <w:rPr>
          <w:rFonts w:ascii="Arial" w:hAnsi="Arial" w:cs="Arial"/>
          <w:color w:val="000000"/>
          <w:sz w:val="22"/>
          <w:szCs w:val="22"/>
          <w:lang w:val="es-ES"/>
        </w:rPr>
        <w:t xml:space="preserve"> de fecha ……. </w:t>
      </w:r>
      <w:r w:rsidR="004B35CA">
        <w:rPr>
          <w:rFonts w:ascii="Arial" w:hAnsi="Arial" w:cs="Arial"/>
          <w:color w:val="000000"/>
          <w:sz w:val="22"/>
          <w:szCs w:val="22"/>
          <w:lang w:val="es-ES"/>
        </w:rPr>
        <w:t>y</w:t>
      </w:r>
      <w:r>
        <w:rPr>
          <w:rFonts w:ascii="Arial" w:hAnsi="Arial" w:cs="Arial"/>
          <w:color w:val="000000"/>
          <w:sz w:val="22"/>
          <w:szCs w:val="22"/>
          <w:lang w:val="es-ES"/>
        </w:rPr>
        <w:t xml:space="preserve"> se haga lugar a los argumentos invocados en el presente recurso.</w:t>
      </w:r>
    </w:p>
    <w:p w:rsidR="00ED2674" w:rsidRDefault="00ED2674" w:rsidP="00ED2674">
      <w:pPr>
        <w:pStyle w:val="western"/>
        <w:shd w:val="clear" w:color="auto" w:fill="FFFFFF"/>
        <w:spacing w:after="0" w:afterAutospacing="0" w:line="360" w:lineRule="auto"/>
        <w:ind w:firstLine="91"/>
        <w:jc w:val="both"/>
        <w:rPr>
          <w:rFonts w:ascii="Arial" w:hAnsi="Arial" w:cs="Arial"/>
          <w:b/>
          <w:color w:val="000000"/>
          <w:sz w:val="22"/>
          <w:szCs w:val="22"/>
          <w:u w:val="single"/>
          <w:lang w:val="es-ES"/>
        </w:rPr>
      </w:pPr>
      <w:r>
        <w:rPr>
          <w:rFonts w:ascii="Arial" w:hAnsi="Arial" w:cs="Arial"/>
          <w:color w:val="000000"/>
          <w:sz w:val="22"/>
          <w:szCs w:val="22"/>
          <w:lang w:val="es-ES"/>
        </w:rPr>
        <w:tab/>
      </w:r>
      <w:r>
        <w:rPr>
          <w:rFonts w:ascii="Arial" w:hAnsi="Arial" w:cs="Arial"/>
          <w:color w:val="000000"/>
          <w:sz w:val="22"/>
          <w:szCs w:val="22"/>
          <w:lang w:val="es-ES"/>
        </w:rPr>
        <w:tab/>
      </w:r>
      <w:r w:rsidRPr="00ED2674">
        <w:rPr>
          <w:rFonts w:ascii="Arial" w:hAnsi="Arial" w:cs="Arial"/>
          <w:b/>
          <w:color w:val="000000"/>
          <w:sz w:val="22"/>
          <w:szCs w:val="22"/>
          <w:lang w:val="es-ES"/>
        </w:rPr>
        <w:t>II</w:t>
      </w:r>
      <w:r>
        <w:rPr>
          <w:rFonts w:ascii="Arial" w:hAnsi="Arial" w:cs="Arial"/>
          <w:b/>
          <w:color w:val="000000"/>
          <w:sz w:val="22"/>
          <w:szCs w:val="22"/>
          <w:lang w:val="es-ES"/>
        </w:rPr>
        <w:t>I</w:t>
      </w:r>
      <w:r w:rsidRPr="00ED2674">
        <w:rPr>
          <w:rFonts w:ascii="Arial" w:hAnsi="Arial" w:cs="Arial"/>
          <w:b/>
          <w:color w:val="000000"/>
          <w:sz w:val="22"/>
          <w:szCs w:val="22"/>
          <w:lang w:val="es-ES"/>
        </w:rPr>
        <w:t xml:space="preserve">.- </w:t>
      </w:r>
      <w:r w:rsidRPr="00ED2674">
        <w:rPr>
          <w:rFonts w:ascii="Arial" w:hAnsi="Arial" w:cs="Arial"/>
          <w:b/>
          <w:color w:val="000000"/>
          <w:sz w:val="22"/>
          <w:szCs w:val="22"/>
          <w:u w:val="single"/>
          <w:lang w:val="es-ES"/>
        </w:rPr>
        <w:t>Petitorio:</w:t>
      </w:r>
    </w:p>
    <w:p w:rsidR="00ED2674" w:rsidRDefault="00ED2674" w:rsidP="00ED2674">
      <w:pPr>
        <w:pStyle w:val="western"/>
        <w:shd w:val="clear" w:color="auto" w:fill="FFFFFF"/>
        <w:spacing w:after="0" w:afterAutospacing="0" w:line="360" w:lineRule="auto"/>
        <w:ind w:firstLine="91"/>
        <w:jc w:val="both"/>
        <w:rPr>
          <w:rFonts w:ascii="Arial" w:hAnsi="Arial" w:cs="Arial"/>
          <w:color w:val="000000"/>
          <w:sz w:val="22"/>
          <w:szCs w:val="22"/>
          <w:lang w:val="es-ES"/>
        </w:rPr>
      </w:pPr>
      <w:r>
        <w:rPr>
          <w:rFonts w:ascii="Arial" w:hAnsi="Arial" w:cs="Arial"/>
          <w:color w:val="000000"/>
          <w:sz w:val="22"/>
          <w:szCs w:val="22"/>
          <w:lang w:val="es-ES"/>
        </w:rPr>
        <w:tab/>
      </w:r>
      <w:r>
        <w:rPr>
          <w:rFonts w:ascii="Arial" w:hAnsi="Arial" w:cs="Arial"/>
          <w:color w:val="000000"/>
          <w:sz w:val="22"/>
          <w:szCs w:val="22"/>
          <w:lang w:val="es-ES"/>
        </w:rPr>
        <w:tab/>
        <w:t>Por lo expuesto de V.S. solicito:</w:t>
      </w:r>
    </w:p>
    <w:p w:rsidR="00ED2674" w:rsidRDefault="00ED2674" w:rsidP="00ED2674">
      <w:pPr>
        <w:pStyle w:val="western"/>
        <w:numPr>
          <w:ilvl w:val="0"/>
          <w:numId w:val="2"/>
        </w:numPr>
        <w:shd w:val="clear" w:color="auto" w:fill="FFFFFF"/>
        <w:spacing w:after="0" w:afterAutospacing="0" w:line="360" w:lineRule="auto"/>
        <w:jc w:val="both"/>
        <w:rPr>
          <w:rFonts w:ascii="Arial" w:hAnsi="Arial" w:cs="Arial"/>
          <w:color w:val="000000"/>
          <w:sz w:val="22"/>
          <w:szCs w:val="22"/>
          <w:lang w:val="es-ES"/>
        </w:rPr>
      </w:pPr>
      <w:r>
        <w:rPr>
          <w:rFonts w:ascii="Arial" w:hAnsi="Arial" w:cs="Arial"/>
          <w:color w:val="000000"/>
          <w:sz w:val="22"/>
          <w:szCs w:val="22"/>
          <w:lang w:val="es-ES"/>
        </w:rPr>
        <w:t xml:space="preserve">Tenga por interpuesto recurso de revocatoria y apelación en subsidio contra el auto regulatorio N° </w:t>
      </w:r>
      <w:proofErr w:type="gramStart"/>
      <w:r w:rsidR="00E06D7E">
        <w:rPr>
          <w:rFonts w:ascii="Arial" w:hAnsi="Arial" w:cs="Arial"/>
          <w:color w:val="000000"/>
          <w:sz w:val="22"/>
          <w:szCs w:val="22"/>
          <w:lang w:val="es-ES"/>
        </w:rPr>
        <w:t>……</w:t>
      </w:r>
      <w:bookmarkStart w:id="0" w:name="_GoBack"/>
      <w:bookmarkEnd w:id="0"/>
      <w:proofErr w:type="gramEnd"/>
      <w:r>
        <w:rPr>
          <w:rFonts w:ascii="Arial" w:hAnsi="Arial" w:cs="Arial"/>
          <w:color w:val="000000"/>
          <w:sz w:val="22"/>
          <w:szCs w:val="22"/>
          <w:lang w:val="es-ES"/>
        </w:rPr>
        <w:t xml:space="preserve"> de fecha ………</w:t>
      </w:r>
    </w:p>
    <w:p w:rsidR="00ED2674" w:rsidRDefault="00ED2674" w:rsidP="00ED2674">
      <w:pPr>
        <w:pStyle w:val="western"/>
        <w:numPr>
          <w:ilvl w:val="0"/>
          <w:numId w:val="2"/>
        </w:numPr>
        <w:shd w:val="clear" w:color="auto" w:fill="FFFFFF"/>
        <w:spacing w:after="0" w:afterAutospacing="0" w:line="360" w:lineRule="auto"/>
        <w:jc w:val="both"/>
        <w:rPr>
          <w:rFonts w:ascii="Arial" w:hAnsi="Arial" w:cs="Arial"/>
          <w:color w:val="000000"/>
          <w:sz w:val="22"/>
          <w:szCs w:val="22"/>
          <w:lang w:val="es-ES"/>
        </w:rPr>
      </w:pPr>
      <w:r>
        <w:rPr>
          <w:rFonts w:ascii="Arial" w:hAnsi="Arial" w:cs="Arial"/>
          <w:color w:val="000000"/>
          <w:sz w:val="22"/>
          <w:szCs w:val="22"/>
          <w:lang w:val="es-ES"/>
        </w:rPr>
        <w:t xml:space="preserve">Oportunamente y previo al trámite de ley, se haga lugar al recurso de revocatoria y se regulen mis honorarios profesionales contemplando su equivalencia de pesos en unidades </w:t>
      </w:r>
      <w:proofErr w:type="spellStart"/>
      <w:r>
        <w:rPr>
          <w:rFonts w:ascii="Arial" w:hAnsi="Arial" w:cs="Arial"/>
          <w:color w:val="000000"/>
          <w:sz w:val="22"/>
          <w:szCs w:val="22"/>
          <w:lang w:val="es-ES"/>
        </w:rPr>
        <w:t>jus</w:t>
      </w:r>
      <w:proofErr w:type="spellEnd"/>
      <w:r>
        <w:rPr>
          <w:rFonts w:ascii="Arial" w:hAnsi="Arial" w:cs="Arial"/>
          <w:color w:val="000000"/>
          <w:sz w:val="22"/>
          <w:szCs w:val="22"/>
          <w:lang w:val="es-ES"/>
        </w:rPr>
        <w:t>.</w:t>
      </w:r>
    </w:p>
    <w:sectPr w:rsidR="00ED2674" w:rsidSect="00CF59F5">
      <w:type w:val="continuous"/>
      <w:pgSz w:w="12242" w:h="20163" w:code="5"/>
      <w:pgMar w:top="2268" w:right="1021" w:bottom="1021" w:left="2268"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27184"/>
    <w:multiLevelType w:val="hybridMultilevel"/>
    <w:tmpl w:val="596E5934"/>
    <w:lvl w:ilvl="0" w:tplc="286AB4F2">
      <w:start w:val="1"/>
      <w:numFmt w:val="decimal"/>
      <w:lvlText w:val="%1)"/>
      <w:lvlJc w:val="left"/>
      <w:pPr>
        <w:ind w:left="1771" w:hanging="360"/>
      </w:pPr>
      <w:rPr>
        <w:rFonts w:hint="default"/>
      </w:rPr>
    </w:lvl>
    <w:lvl w:ilvl="1" w:tplc="2C0A0019" w:tentative="1">
      <w:start w:val="1"/>
      <w:numFmt w:val="lowerLetter"/>
      <w:lvlText w:val="%2."/>
      <w:lvlJc w:val="left"/>
      <w:pPr>
        <w:ind w:left="2491" w:hanging="360"/>
      </w:pPr>
    </w:lvl>
    <w:lvl w:ilvl="2" w:tplc="2C0A001B" w:tentative="1">
      <w:start w:val="1"/>
      <w:numFmt w:val="lowerRoman"/>
      <w:lvlText w:val="%3."/>
      <w:lvlJc w:val="right"/>
      <w:pPr>
        <w:ind w:left="3211" w:hanging="180"/>
      </w:pPr>
    </w:lvl>
    <w:lvl w:ilvl="3" w:tplc="2C0A000F" w:tentative="1">
      <w:start w:val="1"/>
      <w:numFmt w:val="decimal"/>
      <w:lvlText w:val="%4."/>
      <w:lvlJc w:val="left"/>
      <w:pPr>
        <w:ind w:left="3931" w:hanging="360"/>
      </w:pPr>
    </w:lvl>
    <w:lvl w:ilvl="4" w:tplc="2C0A0019" w:tentative="1">
      <w:start w:val="1"/>
      <w:numFmt w:val="lowerLetter"/>
      <w:lvlText w:val="%5."/>
      <w:lvlJc w:val="left"/>
      <w:pPr>
        <w:ind w:left="4651" w:hanging="360"/>
      </w:pPr>
    </w:lvl>
    <w:lvl w:ilvl="5" w:tplc="2C0A001B" w:tentative="1">
      <w:start w:val="1"/>
      <w:numFmt w:val="lowerRoman"/>
      <w:lvlText w:val="%6."/>
      <w:lvlJc w:val="right"/>
      <w:pPr>
        <w:ind w:left="5371" w:hanging="180"/>
      </w:pPr>
    </w:lvl>
    <w:lvl w:ilvl="6" w:tplc="2C0A000F" w:tentative="1">
      <w:start w:val="1"/>
      <w:numFmt w:val="decimal"/>
      <w:lvlText w:val="%7."/>
      <w:lvlJc w:val="left"/>
      <w:pPr>
        <w:ind w:left="6091" w:hanging="360"/>
      </w:pPr>
    </w:lvl>
    <w:lvl w:ilvl="7" w:tplc="2C0A0019" w:tentative="1">
      <w:start w:val="1"/>
      <w:numFmt w:val="lowerLetter"/>
      <w:lvlText w:val="%8."/>
      <w:lvlJc w:val="left"/>
      <w:pPr>
        <w:ind w:left="6811" w:hanging="360"/>
      </w:pPr>
    </w:lvl>
    <w:lvl w:ilvl="8" w:tplc="2C0A001B" w:tentative="1">
      <w:start w:val="1"/>
      <w:numFmt w:val="lowerRoman"/>
      <w:lvlText w:val="%9."/>
      <w:lvlJc w:val="right"/>
      <w:pPr>
        <w:ind w:left="7531" w:hanging="180"/>
      </w:pPr>
    </w:lvl>
  </w:abstractNum>
  <w:abstractNum w:abstractNumId="1" w15:restartNumberingAfterBreak="0">
    <w:nsid w:val="58E05B6A"/>
    <w:multiLevelType w:val="hybridMultilevel"/>
    <w:tmpl w:val="6A06EE4C"/>
    <w:lvl w:ilvl="0" w:tplc="E03CE066">
      <w:start w:val="1"/>
      <w:numFmt w:val="upperLetter"/>
      <w:lvlText w:val="%1)"/>
      <w:lvlJc w:val="left"/>
      <w:pPr>
        <w:ind w:left="720" w:hanging="360"/>
      </w:pPr>
      <w:rPr>
        <w:rFonts w:hint="default"/>
        <w:u w:val="none"/>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mirrorMargins/>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BD8"/>
    <w:rsid w:val="002F3BD8"/>
    <w:rsid w:val="004B35CA"/>
    <w:rsid w:val="009C0077"/>
    <w:rsid w:val="00AC0758"/>
    <w:rsid w:val="00CF59F5"/>
    <w:rsid w:val="00E06D7E"/>
    <w:rsid w:val="00EB34CB"/>
    <w:rsid w:val="00ED267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80F81F-42F4-4D51-AC58-A3847FD5E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ody">
    <w:name w:val="body"/>
    <w:basedOn w:val="Normal"/>
    <w:rsid w:val="00EB34CB"/>
    <w:pPr>
      <w:spacing w:before="100" w:beforeAutospacing="1" w:after="100" w:afterAutospacing="1" w:line="240" w:lineRule="auto"/>
    </w:pPr>
    <w:rPr>
      <w:rFonts w:ascii="Verdana" w:eastAsia="Times New Roman" w:hAnsi="Verdana" w:cs="Times New Roman"/>
      <w:color w:val="000000"/>
      <w:sz w:val="15"/>
      <w:szCs w:val="15"/>
      <w:lang w:val="es-ES_tradnl" w:eastAsia="es-ES_tradnl"/>
    </w:rPr>
  </w:style>
  <w:style w:type="paragraph" w:styleId="Prrafodelista">
    <w:name w:val="List Paragraph"/>
    <w:basedOn w:val="Normal"/>
    <w:uiPriority w:val="34"/>
    <w:qFormat/>
    <w:rsid w:val="00EB34CB"/>
    <w:pPr>
      <w:spacing w:after="200" w:line="276" w:lineRule="auto"/>
      <w:ind w:left="720"/>
      <w:contextualSpacing/>
    </w:pPr>
  </w:style>
  <w:style w:type="paragraph" w:customStyle="1" w:styleId="p">
    <w:name w:val="p"/>
    <w:basedOn w:val="Normal"/>
    <w:rsid w:val="00EB34CB"/>
    <w:pPr>
      <w:spacing w:before="100" w:beforeAutospacing="1" w:after="0" w:line="240" w:lineRule="auto"/>
    </w:pPr>
    <w:rPr>
      <w:rFonts w:ascii="Times New Roman" w:eastAsia="Times New Roman" w:hAnsi="Times New Roman" w:cs="Times New Roman"/>
      <w:sz w:val="24"/>
      <w:szCs w:val="24"/>
      <w:lang w:eastAsia="es-AR"/>
    </w:rPr>
  </w:style>
  <w:style w:type="character" w:customStyle="1" w:styleId="b1">
    <w:name w:val="b1"/>
    <w:basedOn w:val="Fuentedeprrafopredeter"/>
    <w:rsid w:val="00EB34CB"/>
    <w:rPr>
      <w:color w:val="000000"/>
    </w:rPr>
  </w:style>
  <w:style w:type="paragraph" w:customStyle="1" w:styleId="western">
    <w:name w:val="western"/>
    <w:basedOn w:val="Normal"/>
    <w:rsid w:val="00ED2674"/>
    <w:pPr>
      <w:spacing w:before="100" w:beforeAutospacing="1" w:after="100" w:afterAutospacing="1" w:line="240" w:lineRule="auto"/>
    </w:pPr>
    <w:rPr>
      <w:rFonts w:ascii="Times New Roman" w:eastAsia="Times New Roman" w:hAnsi="Times New Roman" w:cs="Times New Roman"/>
      <w:sz w:val="24"/>
      <w:szCs w:val="24"/>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007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2132</Words>
  <Characters>11726</Characters>
  <Application>Microsoft Office Word</Application>
  <DocSecurity>4</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Indiana Milocco</cp:lastModifiedBy>
  <cp:revision>2</cp:revision>
  <dcterms:created xsi:type="dcterms:W3CDTF">2021-05-27T14:13:00Z</dcterms:created>
  <dcterms:modified xsi:type="dcterms:W3CDTF">2021-05-27T14:13:00Z</dcterms:modified>
</cp:coreProperties>
</file>